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BA" w:rsidRPr="00FA59BA" w:rsidRDefault="00FA59BA" w:rsidP="00FA59B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 w:rsidRPr="00FA59BA">
        <w:rPr>
          <w:rFonts w:ascii="Calibri" w:eastAsia="Times New Roman" w:hAnsi="Calibri" w:cs="Calibri"/>
          <w:sz w:val="24"/>
          <w:szCs w:val="24"/>
        </w:rPr>
        <w:t>Gordana</w:t>
      </w:r>
      <w:proofErr w:type="spellEnd"/>
      <w:r w:rsidRPr="00FA59B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FA59BA">
        <w:rPr>
          <w:rFonts w:ascii="Calibri" w:eastAsia="Times New Roman" w:hAnsi="Calibri" w:cs="Calibri"/>
          <w:sz w:val="24"/>
          <w:szCs w:val="24"/>
        </w:rPr>
        <w:t>Gajin</w:t>
      </w:r>
      <w:proofErr w:type="spellEnd"/>
      <w:r w:rsidRPr="00FA59B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FA59BA">
        <w:rPr>
          <w:rFonts w:ascii="Calibri" w:eastAsia="Times New Roman" w:hAnsi="Calibri" w:cs="Calibri"/>
          <w:sz w:val="24"/>
          <w:szCs w:val="24"/>
        </w:rPr>
        <w:t>i</w:t>
      </w:r>
      <w:proofErr w:type="spellEnd"/>
      <w:r w:rsidRPr="00FA59B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FA59BA">
        <w:rPr>
          <w:rFonts w:ascii="Calibri" w:eastAsia="Times New Roman" w:hAnsi="Calibri" w:cs="Calibri"/>
          <w:sz w:val="24"/>
          <w:szCs w:val="24"/>
        </w:rPr>
        <w:t>Momčilo</w:t>
      </w:r>
      <w:proofErr w:type="spellEnd"/>
      <w:r w:rsidRPr="00FA59BA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FA59BA">
        <w:rPr>
          <w:rFonts w:ascii="Calibri" w:eastAsia="Times New Roman" w:hAnsi="Calibri" w:cs="Calibri"/>
          <w:sz w:val="24"/>
          <w:szCs w:val="24"/>
        </w:rPr>
        <w:t>Macanović</w:t>
      </w:r>
      <w:proofErr w:type="spellEnd"/>
    </w:p>
    <w:p w:rsidR="00FA59BA" w:rsidRPr="00FA59BA" w:rsidRDefault="00FA59BA" w:rsidP="00FA59B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proofErr w:type="gramStart"/>
      <w:r w:rsidRPr="00FA59BA">
        <w:rPr>
          <w:rFonts w:ascii="Calibri" w:eastAsia="Times New Roman" w:hAnsi="Calibri" w:cs="Calibri"/>
          <w:sz w:val="24"/>
          <w:szCs w:val="24"/>
        </w:rPr>
        <w:t xml:space="preserve">" </w:t>
      </w:r>
      <w:proofErr w:type="spellStart"/>
      <w:r w:rsidRPr="00FA59BA">
        <w:rPr>
          <w:rFonts w:ascii="Calibri" w:eastAsia="Times New Roman" w:hAnsi="Calibri" w:cs="Calibri"/>
          <w:sz w:val="24"/>
          <w:szCs w:val="24"/>
        </w:rPr>
        <w:t>Obezbedite</w:t>
      </w:r>
      <w:proofErr w:type="spellEnd"/>
      <w:proofErr w:type="gramEnd"/>
      <w:r w:rsidRPr="00FA59BA">
        <w:rPr>
          <w:rFonts w:ascii="Calibri" w:eastAsia="Times New Roman" w:hAnsi="Calibri" w:cs="Calibri"/>
          <w:sz w:val="24"/>
          <w:szCs w:val="24"/>
        </w:rPr>
        <w:t> se "</w:t>
      </w:r>
    </w:p>
    <w:p w:rsidR="00FA59BA" w:rsidRPr="00FA59BA" w:rsidRDefault="00FA59BA" w:rsidP="00FA59B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proofErr w:type="gramStart"/>
      <w:r w:rsidRPr="00FA59BA">
        <w:rPr>
          <w:rFonts w:ascii="Calibri" w:eastAsia="Times New Roman" w:hAnsi="Calibri" w:cs="Calibri"/>
          <w:sz w:val="24"/>
          <w:szCs w:val="24"/>
        </w:rPr>
        <w:t>5-16.5.2025.</w:t>
      </w:r>
      <w:proofErr w:type="gramEnd"/>
    </w:p>
    <w:p w:rsidR="00FA59BA" w:rsidRPr="00FA59BA" w:rsidRDefault="00FA59BA" w:rsidP="00FA59B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FA59BA" w:rsidRPr="00FA59BA" w:rsidRDefault="00FA59BA" w:rsidP="00FA59B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FA59BA" w:rsidRPr="00FA59BA" w:rsidRDefault="00FA59BA" w:rsidP="00FA59B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FA59BA" w:rsidRPr="00FA59BA" w:rsidRDefault="00FA59BA" w:rsidP="00FA59BA">
      <w:pPr>
        <w:spacing w:after="160"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 xml:space="preserve">" Domaća istorija umetnosti beleži dosta primera kako su se pojedini stvaraoci samostalno usavršavali i dostizali zapažena, neki put  izuzetna postignuća. Pored učenja kod vrsnog slikara i pedagoga, Vasilija Dolovačkog, Gordana Gajin se obrazovala izvan zvaničnih školskih programa. To joj nije zasmetalo, da predanim trudom, zađe u složene premise likovnog tvorenja, tim pre, što je njena stvaralačka potencija pokrenuta snažnim unutrašnjim porivom. </w:t>
      </w:r>
    </w:p>
    <w:p w:rsidR="00FA59BA" w:rsidRPr="00FA59BA" w:rsidRDefault="00FA59BA" w:rsidP="00FA59BA">
      <w:pPr>
        <w:spacing w:after="160" w:line="256" w:lineRule="auto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 xml:space="preserve">Reč je o oronulim fasadama, učmalim prozorima, osamljenim, zakatančenim vratima i drugim trošnim sopstvima, nagriženim vremenskim protokom, sklonim prolaznosti. Uočljivi su još, delovi  pripojenih, zarđalim okovima utvrđenih, zapuštenih  tvorevina ljudskih ruku iza kojih se ne naslućuje životno pulsiranje.  </w:t>
      </w:r>
    </w:p>
    <w:p w:rsidR="00FA59BA" w:rsidRPr="00FA59BA" w:rsidRDefault="00FA59BA" w:rsidP="00FA59BA">
      <w:pPr>
        <w:spacing w:after="160" w:line="256" w:lineRule="auto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>Sve te, uobičajenoj spoznaji izmaknute odrednice, Gordana vraća u život. Vraća ih opsegom vizuelne opservacije upriličene svežim uplivom bojenih aspekata i, dabome, uverljivim likovnim kazivanjem, koji se zasniva na pojednostavljenim ritmičkim premisama</w:t>
      </w:r>
    </w:p>
    <w:p w:rsidR="00FA59BA" w:rsidRPr="00FA59BA" w:rsidRDefault="00FA59BA" w:rsidP="00FA59BA">
      <w:pPr>
        <w:spacing w:after="160"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>Bez obzira na izvesne analogije, slikarstvo Gordane Gajin se temelji na  iskustvima enformela. To potvrđuju bojene naslage, materijalno tkanje površina, tehnika slikanja i način  prikazivanja. Pri tome, jasno se uočavaju iznimna pulsiranja, što  dospevaju u polje osobne likovne perfekcije, kojoj poklanja vidnu pažnju, čime se utapa u prestižne tokove naše savremene umetnosti.  </w:t>
      </w:r>
    </w:p>
    <w:p w:rsidR="00FA59BA" w:rsidRPr="00FA59BA" w:rsidRDefault="00FA59BA" w:rsidP="00FA59BA">
      <w:pPr>
        <w:spacing w:after="160" w:line="256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FA59BA" w:rsidRPr="00FA59BA" w:rsidRDefault="00FA59BA" w:rsidP="00FA59BA">
      <w:pPr>
        <w:spacing w:after="160"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color w:val="444444"/>
          <w:sz w:val="24"/>
          <w:szCs w:val="24"/>
          <w:lang w:val="sr-Latn-RS"/>
        </w:rPr>
        <w:t> </w:t>
      </w:r>
    </w:p>
    <w:p w:rsidR="00FA59BA" w:rsidRPr="00FA59BA" w:rsidRDefault="00FA59BA" w:rsidP="00FA59BA">
      <w:pPr>
        <w:spacing w:after="160"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>Kulturnoj javnosti je poznato slikarstvo Momčila Macanovića. Tome su doprinela samostalna i zajednička izlaganja koliko učešće na  brojnim likovnim kolonijama. U stvaralačkom pogledu se potvrdio i svojim postignućem udenuo u primarne tokove novije umetničke prakse.</w:t>
      </w:r>
    </w:p>
    <w:p w:rsidR="00FA59BA" w:rsidRPr="00FA59BA" w:rsidRDefault="00FA59BA" w:rsidP="00FA59BA">
      <w:pPr>
        <w:spacing w:after="160"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 xml:space="preserve">U pitanju su portreti i aktovi, mrtve prirode, odbačeni, upotrebni predmeti, po neki stišaj primorskog mesta, segmenti posebnih prizora arhitekture i sve drugo što pobuđuje njegovu znatiželju. </w:t>
      </w:r>
    </w:p>
    <w:p w:rsidR="00FA59BA" w:rsidRPr="00FA59BA" w:rsidRDefault="00FA59BA" w:rsidP="00FA59BA">
      <w:pPr>
        <w:spacing w:after="160"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 xml:space="preserve">Suštastvo Macanovićeve darovitosti se smešta u jednom krilu poetski opredmećenog prostora slike. Stvarnost kod njega nije bukvalno preneta, već  traje van uobičajenog diskursa sa kojim gradi osobenu likovnu predstavu, koja zalazi u polje realno pomerenog aspekta, bliskog dojmu sna i  podsvesti. </w:t>
      </w:r>
    </w:p>
    <w:p w:rsidR="00DB4921" w:rsidRPr="00FA59BA" w:rsidRDefault="00FA59BA" w:rsidP="00FA59BA">
      <w:pPr>
        <w:spacing w:after="160" w:line="256" w:lineRule="auto"/>
        <w:jc w:val="both"/>
        <w:rPr>
          <w:rFonts w:ascii="Calibri" w:hAnsi="Calibri" w:cs="Calibri"/>
          <w:sz w:val="24"/>
          <w:szCs w:val="24"/>
        </w:rPr>
      </w:pPr>
      <w:r w:rsidRPr="00FA59BA">
        <w:rPr>
          <w:rFonts w:ascii="Calibri" w:eastAsia="Times New Roman" w:hAnsi="Calibri" w:cs="Calibri"/>
          <w:sz w:val="24"/>
          <w:szCs w:val="24"/>
          <w:lang w:val="sr-Latn-RS"/>
        </w:rPr>
        <w:t>Dublje korene slikarstvu Momčila Macanovića treba tražiti i nalaziti u širokoj panorami renesansne umetnosti. Fenomenološka sprega njegovog tvorenja ističe iz  latentnih pouka velikih majstora datog razdoblja, kome duguje poniranje u sled osetne opservacije motiva."</w:t>
      </w:r>
      <w:bookmarkStart w:id="0" w:name="_GoBack"/>
      <w:bookmarkEnd w:id="0"/>
    </w:p>
    <w:sectPr w:rsidR="00DB4921" w:rsidRPr="00FA5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BA"/>
    <w:rsid w:val="00126FA2"/>
    <w:rsid w:val="00DC1AEC"/>
    <w:rsid w:val="00FA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2025-04-29T08:39:00Z</dcterms:created>
  <dcterms:modified xsi:type="dcterms:W3CDTF">2025-04-29T08:40:00Z</dcterms:modified>
</cp:coreProperties>
</file>